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5FABD" w14:textId="77777777" w:rsidR="00507F92" w:rsidRDefault="00507F92" w:rsidP="00BF259E">
      <w:pPr>
        <w:spacing w:after="300" w:line="240" w:lineRule="auto"/>
        <w:jc w:val="both"/>
        <w:rPr>
          <w:rFonts w:ascii="PT Sans" w:eastAsia="Times New Roman" w:hAnsi="PT Sans" w:cs="Times New Roman"/>
          <w:b/>
          <w:color w:val="000000"/>
          <w:sz w:val="20"/>
          <w:szCs w:val="20"/>
        </w:rPr>
      </w:pPr>
    </w:p>
    <w:p w14:paraId="0B104357" w14:textId="09F41236" w:rsidR="00507F92" w:rsidRDefault="00507F92" w:rsidP="00BF259E">
      <w:pPr>
        <w:spacing w:after="300" w:line="240" w:lineRule="auto"/>
        <w:jc w:val="both"/>
        <w:rPr>
          <w:rFonts w:ascii="PT Sans" w:eastAsia="Times New Roman" w:hAnsi="PT Sans" w:cs="Times New Roman"/>
          <w:b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36B5E88" wp14:editId="09259433">
            <wp:extent cx="5943600" cy="841616"/>
            <wp:effectExtent l="0" t="0" r="0" b="0"/>
            <wp:docPr id="395" name="Picture 3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" name="Picture 39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1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31205" w14:textId="75F349D1" w:rsidR="00D005A0" w:rsidRPr="00974C62" w:rsidRDefault="00D005A0" w:rsidP="00BF259E">
      <w:pPr>
        <w:spacing w:after="300" w:line="240" w:lineRule="auto"/>
        <w:jc w:val="both"/>
        <w:rPr>
          <w:rFonts w:ascii="PT Sans" w:eastAsia="Times New Roman" w:hAnsi="PT Sans" w:cs="Times New Roman"/>
          <w:b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b/>
          <w:color w:val="000000"/>
          <w:sz w:val="20"/>
          <w:szCs w:val="20"/>
        </w:rPr>
        <w:t>APPLICATION FOR CERTIFICATE OF EQUIVALENCE</w:t>
      </w:r>
      <w:r w:rsidR="002A17FA" w:rsidRPr="00974C62">
        <w:rPr>
          <w:rFonts w:ascii="PT Sans" w:eastAsia="Times New Roman" w:hAnsi="PT Sans" w:cs="Times New Roman"/>
          <w:b/>
          <w:color w:val="000000"/>
          <w:sz w:val="20"/>
          <w:szCs w:val="20"/>
        </w:rPr>
        <w:t xml:space="preserve"> (CoQE)</w:t>
      </w:r>
    </w:p>
    <w:p w14:paraId="1912182B" w14:textId="6D190C28" w:rsidR="00D005A0" w:rsidRPr="00974C62" w:rsidRDefault="006B0DAD" w:rsidP="00BF259E">
      <w:pPr>
        <w:spacing w:after="30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A certificate of Qualifications Equivalence is awarded to an institution/assessment or examination body that seeks to introduce and award a foreign Qualification in Kenya. </w:t>
      </w:r>
      <w:r w:rsidR="00D005A0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Foreign institutions that intend to train and award foreign qualifications in Kenya need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to </w:t>
      </w:r>
      <w:r w:rsidR="00D005A0" w:rsidRPr="00974C62">
        <w:rPr>
          <w:rFonts w:ascii="PT Sans" w:eastAsia="Times New Roman" w:hAnsi="PT Sans" w:cs="Times New Roman"/>
          <w:color w:val="000000"/>
          <w:sz w:val="20"/>
          <w:szCs w:val="20"/>
        </w:rPr>
        <w:t>apply for and receive a Certificate of Qualifications Equivalence (CoQE)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</w:t>
      </w:r>
      <w:r w:rsidR="00D005A0" w:rsidRPr="00974C62">
        <w:rPr>
          <w:rFonts w:ascii="PT Sans" w:eastAsia="Times New Roman" w:hAnsi="PT Sans" w:cs="Times New Roman"/>
          <w:color w:val="000000"/>
          <w:sz w:val="20"/>
          <w:szCs w:val="20"/>
        </w:rPr>
        <w:t>for each of the qualifications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>; as set out in the KNQF act no 22 of 2014 and KNQF regulations 2018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>- before training and awarding of the Qualification</w:t>
      </w:r>
      <w:r w:rsidR="00D005A0" w:rsidRPr="00974C62">
        <w:rPr>
          <w:rFonts w:ascii="PT Sans" w:eastAsia="Times New Roman" w:hAnsi="PT Sans" w:cs="Times New Roman"/>
          <w:color w:val="000000"/>
          <w:sz w:val="20"/>
          <w:szCs w:val="20"/>
        </w:rPr>
        <w:t>. Local institutions that have qualifications whose location within the Kenya Qualifications Framework is not clear, can also apply to have this clarified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and issued with a CoQE.</w:t>
      </w:r>
      <w:r w:rsidR="00D005A0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 </w:t>
      </w:r>
    </w:p>
    <w:p w14:paraId="2C3E2261" w14:textId="6A2240C3" w:rsidR="00D005A0" w:rsidRPr="00D005A0" w:rsidRDefault="00D005A0" w:rsidP="00BF259E">
      <w:pPr>
        <w:spacing w:after="300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The Kenya National qualifications Authority (KNQA) undertakes to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asses and issue a certificate of Qualifications Equivalence for each application within 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two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weeks from the time of application and 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register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the said qualification within 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the KNQF.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</w:t>
      </w:r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>For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 a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Foreign and </w:t>
      </w:r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>Local qualification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 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to be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issued with a Certificate of 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>Qualifications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Equivalence and 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to be registered on the KNQF it must:</w:t>
      </w:r>
    </w:p>
    <w:p w14:paraId="66B99D15" w14:textId="6543823D" w:rsidR="00D005A0" w:rsidRPr="00D005A0" w:rsidRDefault="00D005A0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Be submitted to KNQA by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>an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 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assessment and/or examination 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Institution that is registered in its country of 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>origin; or its local authorized agent within Kenya;</w:t>
      </w:r>
    </w:p>
    <w:p w14:paraId="79CC1128" w14:textId="0B92852A" w:rsidR="00D005A0" w:rsidRPr="00D005A0" w:rsidRDefault="00D005A0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The Qualification must be </w:t>
      </w:r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>registered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by the </w:t>
      </w:r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>Qualifications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framework in its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country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of origin and/or recognized in any other form by that country’s regulatory authorities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;</w:t>
      </w:r>
    </w:p>
    <w:p w14:paraId="24BB2644" w14:textId="5C7A9AAC" w:rsidR="00D005A0" w:rsidRPr="00D005A0" w:rsidRDefault="00702F74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In the absence of (2) and/or to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complement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the process, priority will be given to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qualifications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for which Kenya has bilateral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agreement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with the country from which the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qualifications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are coming from</w:t>
      </w:r>
      <w:r w:rsidR="00D005A0" w:rsidRPr="00D005A0">
        <w:rPr>
          <w:rFonts w:ascii="PT Sans" w:eastAsia="Times New Roman" w:hAnsi="PT Sans" w:cs="Times New Roman"/>
          <w:color w:val="000000"/>
          <w:sz w:val="20"/>
          <w:szCs w:val="20"/>
        </w:rPr>
        <w:t>;</w:t>
      </w:r>
    </w:p>
    <w:p w14:paraId="14567CDD" w14:textId="6CAB429D" w:rsidR="00702F74" w:rsidRPr="00974C62" w:rsidRDefault="00702F74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In assessing the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qualification,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the KNQA will ensure that;</w:t>
      </w:r>
    </w:p>
    <w:p w14:paraId="3AB7C68F" w14:textId="43D96335" w:rsidR="00D005A0" w:rsidRPr="00974C62" w:rsidRDefault="00702F74" w:rsidP="00BF25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i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</w:t>
      </w:r>
      <w:r w:rsidR="009F2FE4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T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he Applying inst</w:t>
      </w:r>
      <w:r w:rsidR="002A17FA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it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ution and qualification are duly registered and/or </w:t>
      </w:r>
      <w:r w:rsidR="002A17FA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accredited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in the country of origin</w:t>
      </w:r>
      <w:r w:rsidR="00D005A0" w:rsidRPr="00D005A0">
        <w:rPr>
          <w:rFonts w:ascii="PT Sans" w:eastAsia="Times New Roman" w:hAnsi="PT Sans" w:cs="Times New Roman"/>
          <w:i/>
          <w:color w:val="000000"/>
          <w:sz w:val="20"/>
          <w:szCs w:val="20"/>
        </w:rPr>
        <w:t>;</w:t>
      </w:r>
    </w:p>
    <w:p w14:paraId="43C8B4DC" w14:textId="4A197FE7" w:rsidR="00702F74" w:rsidRPr="00974C62" w:rsidRDefault="00702F74" w:rsidP="00BF25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i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The Volume of learning that goes into the qualification</w:t>
      </w:r>
      <w:r w:rsidR="006B0DAD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meets requirements of the level at which the applicant is seeking to register the qualification</w:t>
      </w:r>
      <w:r w:rsidR="003F5E3D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at</w:t>
      </w:r>
      <w:r w:rsidR="009F2FE4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(this will determine the level at which the qualification will be recognized and equated)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;</w:t>
      </w:r>
    </w:p>
    <w:p w14:paraId="10D30861" w14:textId="090E0B09" w:rsidR="00702F74" w:rsidRPr="00974C62" w:rsidRDefault="002A17FA" w:rsidP="00BF25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i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Suitability</w:t>
      </w:r>
      <w:r w:rsidR="00702F74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and need of the qualification for the Kenyan education</w:t>
      </w:r>
      <w:r w:rsidR="0005261B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,</w:t>
      </w:r>
      <w:r w:rsidR="00702F74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training </w:t>
      </w:r>
      <w:r w:rsidR="0005261B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and work environment</w:t>
      </w:r>
      <w:r w:rsidR="00702F74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;</w:t>
      </w:r>
    </w:p>
    <w:p w14:paraId="27D5FDFC" w14:textId="5D5E8585" w:rsidR="00702F74" w:rsidRPr="00974C62" w:rsidRDefault="00702F74" w:rsidP="00BF25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i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Accreditation </w:t>
      </w:r>
      <w:r w:rsidR="002A17FA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status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of institutions that are training for the qualification in Kenya;</w:t>
      </w:r>
    </w:p>
    <w:p w14:paraId="4804786D" w14:textId="29AD9BB1" w:rsidR="00702F74" w:rsidRPr="00974C62" w:rsidRDefault="00702F74" w:rsidP="00BF25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i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Entry </w:t>
      </w:r>
      <w:r w:rsidR="002A17FA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requirements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 for students wishing to be enrolled to study the qualification;</w:t>
      </w:r>
    </w:p>
    <w:p w14:paraId="47CFAC22" w14:textId="0D6133FB" w:rsidR="00702F74" w:rsidRPr="00D005A0" w:rsidRDefault="00702F74" w:rsidP="00BF259E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i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The extend to which the qualification fits into the KNQF </w:t>
      </w:r>
      <w:r w:rsidR="009F2FE4"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 xml:space="preserve">(level descriptors) </w:t>
      </w:r>
      <w:r w:rsidRPr="00974C62">
        <w:rPr>
          <w:rFonts w:ascii="PT Sans" w:eastAsia="Times New Roman" w:hAnsi="PT Sans" w:cs="Times New Roman"/>
          <w:i/>
          <w:color w:val="000000"/>
          <w:sz w:val="20"/>
          <w:szCs w:val="20"/>
        </w:rPr>
        <w:t>and meets the expectations and aspirations of the framework;</w:t>
      </w:r>
    </w:p>
    <w:p w14:paraId="30A21C9F" w14:textId="7E01E685" w:rsidR="00D005A0" w:rsidRPr="00974C62" w:rsidRDefault="00D005A0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 Include as general requirements, experiential learning, and recognition of prior learning and/or practical experience</w:t>
      </w:r>
      <w:r w:rsidR="009F2FE4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and industry training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;</w:t>
      </w:r>
    </w:p>
    <w:p w14:paraId="71B829AC" w14:textId="3378BC2B" w:rsidR="00BF259E" w:rsidRPr="00D005A0" w:rsidRDefault="00BF259E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Institutions applying for CoQE will be required to fill </w:t>
      </w:r>
      <w:r w:rsidR="009F2FE4" w:rsidRPr="00974C62">
        <w:rPr>
          <w:rFonts w:ascii="PT Sans" w:eastAsia="Times New Roman" w:hAnsi="PT Sans" w:cs="Times New Roman"/>
          <w:color w:val="000000"/>
          <w:sz w:val="20"/>
          <w:szCs w:val="20"/>
        </w:rPr>
        <w:t>a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prescribed application form, attach a detailed curriculum and structure</w:t>
      </w:r>
      <w:r w:rsidR="009F2FE4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of the Qualification</w:t>
      </w:r>
      <w:r w:rsidRPr="00974C62">
        <w:rPr>
          <w:rFonts w:ascii="PT Sans" w:eastAsia="Times New Roman" w:hAnsi="PT Sans" w:cs="Times New Roman"/>
          <w:color w:val="000000"/>
          <w:sz w:val="20"/>
          <w:szCs w:val="20"/>
        </w:rPr>
        <w:t>, teaching methods, assessment and examination requirements and systems for the qualification; and any other materials that support the application such as brochures, list of accredited institutions that are training (their accreditation status) for the qualification.</w:t>
      </w:r>
    </w:p>
    <w:p w14:paraId="287AF8C0" w14:textId="4002FD90" w:rsidR="00D005A0" w:rsidRPr="00D005A0" w:rsidRDefault="00D005A0" w:rsidP="00BF25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Payment of requisite fee (</w:t>
      </w:r>
      <w:r w:rsidRPr="00D005A0">
        <w:rPr>
          <w:rFonts w:ascii="PT Sans" w:eastAsia="Times New Roman" w:hAnsi="PT Sans" w:cs="Times New Roman"/>
          <w:b/>
          <w:bCs/>
          <w:i/>
          <w:iCs/>
          <w:color w:val="000000"/>
          <w:sz w:val="20"/>
          <w:szCs w:val="20"/>
        </w:rPr>
        <w:t>See service fees charged by KNQA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 xml:space="preserve">); Ksh </w:t>
      </w:r>
      <w:r w:rsidR="00BF259E" w:rsidRPr="00974C62">
        <w:rPr>
          <w:rFonts w:ascii="PT Sans" w:eastAsia="Times New Roman" w:hAnsi="PT Sans" w:cs="Times New Roman"/>
          <w:color w:val="000000"/>
          <w:sz w:val="20"/>
          <w:szCs w:val="20"/>
        </w:rPr>
        <w:t>50,000 for</w:t>
      </w:r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a local and </w:t>
      </w:r>
      <w:proofErr w:type="spellStart"/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>ksh</w:t>
      </w:r>
      <w:proofErr w:type="spellEnd"/>
      <w:r w:rsidR="00702F74" w:rsidRPr="00974C62">
        <w:rPr>
          <w:rFonts w:ascii="PT Sans" w:eastAsia="Times New Roman" w:hAnsi="PT Sans" w:cs="Times New Roman"/>
          <w:color w:val="000000"/>
          <w:sz w:val="20"/>
          <w:szCs w:val="20"/>
        </w:rPr>
        <w:t xml:space="preserve"> 100,000 for a Foreign </w:t>
      </w:r>
      <w:r w:rsidR="002A17FA" w:rsidRPr="00974C62">
        <w:rPr>
          <w:rFonts w:ascii="PT Sans" w:eastAsia="Times New Roman" w:hAnsi="PT Sans" w:cs="Times New Roman"/>
          <w:color w:val="000000"/>
          <w:sz w:val="20"/>
          <w:szCs w:val="20"/>
        </w:rPr>
        <w:t>Qualification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.</w:t>
      </w:r>
    </w:p>
    <w:p w14:paraId="7F9A8068" w14:textId="77777777" w:rsidR="00BF259E" w:rsidRPr="00974C62" w:rsidRDefault="00BF259E" w:rsidP="00BF259E">
      <w:pPr>
        <w:spacing w:after="300" w:line="240" w:lineRule="auto"/>
        <w:jc w:val="both"/>
        <w:rPr>
          <w:rFonts w:ascii="PT Sans" w:eastAsia="Times New Roman" w:hAnsi="PT Sans" w:cs="Times New Roman"/>
          <w:b/>
          <w:bCs/>
          <w:color w:val="000000"/>
          <w:sz w:val="20"/>
          <w:szCs w:val="20"/>
        </w:rPr>
      </w:pPr>
      <w:r w:rsidRPr="00974C62">
        <w:rPr>
          <w:rFonts w:ascii="PT Sans" w:eastAsia="Times New Roman" w:hAnsi="PT Sans" w:cs="Times New Roman"/>
          <w:b/>
          <w:bCs/>
          <w:color w:val="000000"/>
          <w:sz w:val="20"/>
          <w:szCs w:val="20"/>
        </w:rPr>
        <w:t>All payments to be made to:</w:t>
      </w:r>
    </w:p>
    <w:p w14:paraId="7F2FE24D" w14:textId="3EE6E999" w:rsidR="00D005A0" w:rsidRPr="00507F92" w:rsidRDefault="00D005A0" w:rsidP="00507F92">
      <w:pPr>
        <w:spacing w:after="300" w:line="240" w:lineRule="auto"/>
        <w:rPr>
          <w:rFonts w:ascii="PT Sans" w:eastAsia="Times New Roman" w:hAnsi="PT Sans" w:cs="Times New Roman"/>
          <w:color w:val="000000"/>
          <w:sz w:val="20"/>
          <w:szCs w:val="20"/>
        </w:rPr>
      </w:pPr>
      <w:r w:rsidRPr="00D005A0">
        <w:rPr>
          <w:rFonts w:ascii="PT Sans" w:eastAsia="Times New Roman" w:hAnsi="PT Sans" w:cs="Times New Roman"/>
          <w:b/>
          <w:bCs/>
          <w:color w:val="000000"/>
          <w:sz w:val="20"/>
          <w:szCs w:val="20"/>
        </w:rPr>
        <w:t>KNQA Bank Account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D005A0">
        <w:rPr>
          <w:rFonts w:ascii="PT Sans" w:eastAsia="Times New Roman" w:hAnsi="PT Sans" w:cs="Times New Roman"/>
          <w:b/>
          <w:bCs/>
          <w:color w:val="000000"/>
          <w:sz w:val="20"/>
          <w:szCs w:val="20"/>
        </w:rPr>
        <w:t>A/C Name: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 Kenya National Qualifications Authority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D005A0">
        <w:rPr>
          <w:rFonts w:ascii="PT Sans" w:eastAsia="Times New Roman" w:hAnsi="PT Sans" w:cs="Times New Roman"/>
          <w:b/>
          <w:bCs/>
          <w:color w:val="000000"/>
          <w:sz w:val="20"/>
          <w:szCs w:val="20"/>
        </w:rPr>
        <w:t>A/C No.: 1208626825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br/>
      </w:r>
      <w:r w:rsidRPr="00D005A0">
        <w:rPr>
          <w:rFonts w:ascii="PT Sans" w:eastAsia="Times New Roman" w:hAnsi="PT Sans" w:cs="Times New Roman"/>
          <w:b/>
          <w:bCs/>
          <w:color w:val="000000"/>
          <w:sz w:val="20"/>
          <w:szCs w:val="20"/>
        </w:rPr>
        <w:t>Bank:</w:t>
      </w:r>
      <w:r w:rsidRPr="00D005A0">
        <w:rPr>
          <w:rFonts w:ascii="PT Sans" w:eastAsia="Times New Roman" w:hAnsi="PT Sans" w:cs="Times New Roman"/>
          <w:color w:val="000000"/>
          <w:sz w:val="20"/>
          <w:szCs w:val="20"/>
        </w:rPr>
        <w:t> Kenya Commercial Bank</w:t>
      </w:r>
      <w:bookmarkStart w:id="0" w:name="_GoBack"/>
      <w:bookmarkEnd w:id="0"/>
    </w:p>
    <w:sectPr w:rsidR="00D005A0" w:rsidRPr="00507F92" w:rsidSect="00507F92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36B16"/>
    <w:multiLevelType w:val="multilevel"/>
    <w:tmpl w:val="4C14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5A0"/>
    <w:rsid w:val="0005261B"/>
    <w:rsid w:val="002A17FA"/>
    <w:rsid w:val="003F5E3D"/>
    <w:rsid w:val="00507F92"/>
    <w:rsid w:val="00624515"/>
    <w:rsid w:val="006B0DAD"/>
    <w:rsid w:val="00702F74"/>
    <w:rsid w:val="00974C62"/>
    <w:rsid w:val="009F2FE4"/>
    <w:rsid w:val="00AC7198"/>
    <w:rsid w:val="00BF259E"/>
    <w:rsid w:val="00D0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0A49C"/>
  <w15:chartTrackingRefBased/>
  <w15:docId w15:val="{EB2ABFD5-176A-4EC7-A07B-4AA6F99C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Juma Mukhwana</dc:creator>
  <cp:keywords/>
  <dc:description/>
  <cp:lastModifiedBy>munene njeru</cp:lastModifiedBy>
  <cp:revision>3</cp:revision>
  <cp:lastPrinted>2019-03-05T08:01:00Z</cp:lastPrinted>
  <dcterms:created xsi:type="dcterms:W3CDTF">2019-03-06T06:50:00Z</dcterms:created>
  <dcterms:modified xsi:type="dcterms:W3CDTF">2019-04-01T08:32:00Z</dcterms:modified>
</cp:coreProperties>
</file>